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583" w:rsidRDefault="00CA2583" w:rsidP="00CA2583">
      <w:pPr>
        <w:jc w:val="center"/>
        <w:rPr>
          <w:b/>
        </w:rPr>
      </w:pPr>
    </w:p>
    <w:p w:rsidR="00CA2583" w:rsidRDefault="00CA2583" w:rsidP="00CA2583">
      <w:pPr>
        <w:jc w:val="center"/>
        <w:rPr>
          <w:b/>
        </w:rPr>
      </w:pPr>
    </w:p>
    <w:p w:rsidR="00591ACD" w:rsidRDefault="00986540" w:rsidP="00CA2583">
      <w:pPr>
        <w:jc w:val="center"/>
        <w:rPr>
          <w:b/>
        </w:rPr>
      </w:pPr>
      <w:r w:rsidRPr="008F7E37">
        <w:rPr>
          <w:b/>
        </w:rPr>
        <w:t>#Case 2 Bacterial Pneumonia</w:t>
      </w:r>
    </w:p>
    <w:p w:rsidR="00CA2583" w:rsidRDefault="00CA2583" w:rsidP="00CA2583">
      <w:pPr>
        <w:jc w:val="center"/>
        <w:rPr>
          <w:b/>
        </w:rPr>
      </w:pPr>
    </w:p>
    <w:p w:rsidR="00CA2583" w:rsidRDefault="00CA2583" w:rsidP="00CA2583">
      <w:pPr>
        <w:jc w:val="center"/>
        <w:rPr>
          <w:b/>
        </w:rPr>
      </w:pPr>
    </w:p>
    <w:p w:rsidR="00CA2583" w:rsidRDefault="00CA2583" w:rsidP="00CA2583">
      <w:pPr>
        <w:jc w:val="center"/>
        <w:rPr>
          <w:b/>
        </w:rPr>
      </w:pPr>
    </w:p>
    <w:p w:rsidR="00CA2583" w:rsidRPr="00CA2583" w:rsidRDefault="00986540" w:rsidP="00CA2583">
      <w:pPr>
        <w:jc w:val="center"/>
      </w:pPr>
      <w:r w:rsidRPr="00CA2583">
        <w:t>Name</w:t>
      </w:r>
    </w:p>
    <w:p w:rsidR="00CA2583" w:rsidRPr="00CA2583" w:rsidRDefault="00986540" w:rsidP="00CA2583">
      <w:pPr>
        <w:jc w:val="center"/>
      </w:pPr>
      <w:r w:rsidRPr="00CA2583">
        <w:t>Institution of Affiliation</w:t>
      </w:r>
    </w:p>
    <w:p w:rsidR="00CA2583" w:rsidRPr="00CA2583" w:rsidRDefault="00986540" w:rsidP="00CA2583">
      <w:pPr>
        <w:jc w:val="center"/>
      </w:pPr>
      <w:r w:rsidRPr="00CA2583">
        <w:t>Professor</w:t>
      </w:r>
    </w:p>
    <w:p w:rsidR="00CA2583" w:rsidRPr="00CA2583" w:rsidRDefault="00986540" w:rsidP="00CA2583">
      <w:pPr>
        <w:jc w:val="center"/>
      </w:pPr>
      <w:r w:rsidRPr="00CA2583">
        <w:t>Date</w:t>
      </w: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Default="00CA2583">
      <w:pPr>
        <w:rPr>
          <w:b/>
        </w:rPr>
      </w:pPr>
    </w:p>
    <w:p w:rsidR="00CA2583" w:rsidRPr="008F7E37" w:rsidRDefault="00986540" w:rsidP="00CA2583">
      <w:pPr>
        <w:jc w:val="center"/>
        <w:rPr>
          <w:b/>
        </w:rPr>
      </w:pPr>
      <w:r w:rsidRPr="008F7E37">
        <w:rPr>
          <w:b/>
        </w:rPr>
        <w:t>#Case 2 Bacterial Pneumonia</w:t>
      </w:r>
    </w:p>
    <w:p w:rsidR="00595CDD" w:rsidRDefault="00986540" w:rsidP="00BC22A3">
      <w:pPr>
        <w:ind w:firstLine="720"/>
      </w:pPr>
      <w:r>
        <w:t xml:space="preserve">George is a patient who has infection symptoms since he has complaints of fever and a productive cough. He has mild hypertension and </w:t>
      </w:r>
      <w:r>
        <w:t>also smokes cigarettes. His diagnosis will, therefore, be bacterial pneumonia in a mild hypertensive patient who is a smoker.</w:t>
      </w:r>
    </w:p>
    <w:p w:rsidR="00595CDD" w:rsidRPr="008F7E37" w:rsidRDefault="00986540" w:rsidP="00CA2583">
      <w:pPr>
        <w:jc w:val="center"/>
        <w:rPr>
          <w:b/>
        </w:rPr>
      </w:pPr>
      <w:r w:rsidRPr="008F7E37">
        <w:rPr>
          <w:b/>
        </w:rPr>
        <w:t xml:space="preserve">Medication Plan </w:t>
      </w:r>
      <w:r w:rsidR="008F7E37" w:rsidRPr="008F7E37">
        <w:rPr>
          <w:b/>
        </w:rPr>
        <w:t>for</w:t>
      </w:r>
      <w:r w:rsidRPr="008F7E37">
        <w:rPr>
          <w:b/>
        </w:rPr>
        <w:t xml:space="preserve"> </w:t>
      </w:r>
      <w:r w:rsidR="008F7E37" w:rsidRPr="008F7E37">
        <w:rPr>
          <w:b/>
        </w:rPr>
        <w:t>the</w:t>
      </w:r>
      <w:r w:rsidRPr="008F7E37">
        <w:rPr>
          <w:b/>
        </w:rPr>
        <w:t xml:space="preserve"> Patient</w:t>
      </w:r>
    </w:p>
    <w:p w:rsidR="00595CDD" w:rsidRDefault="00986540" w:rsidP="00BC22A3">
      <w:pPr>
        <w:ind w:firstLine="720"/>
      </w:pPr>
      <w:r>
        <w:t xml:space="preserve">The patient would require antibiotics for the infection. The best choice for his condition would be Augmentin. The </w:t>
      </w:r>
      <w:r w:rsidR="00C761E7">
        <w:t>medication has</w:t>
      </w:r>
      <w:r>
        <w:t xml:space="preserve"> both amoxicillin and </w:t>
      </w:r>
      <w:proofErr w:type="spellStart"/>
      <w:r>
        <w:t>clavulanate</w:t>
      </w:r>
      <w:proofErr w:type="spellEnd"/>
      <w:r>
        <w:t xml:space="preserve"> components. The amoxicillin component has broad coverage; hence it is likely to cover all the</w:t>
      </w:r>
      <w:r>
        <w:t xml:space="preserve"> possible bacterial causative agents</w:t>
      </w:r>
      <w:r w:rsidR="00CA2583">
        <w:t xml:space="preserve"> (</w:t>
      </w:r>
      <w:proofErr w:type="spellStart"/>
      <w:r w:rsidR="00CA2583" w:rsidRPr="00CA2583">
        <w:t>Metlay</w:t>
      </w:r>
      <w:proofErr w:type="spellEnd"/>
      <w:r w:rsidR="00CA2583">
        <w:t xml:space="preserve"> et al., 2019)</w:t>
      </w:r>
      <w:r>
        <w:t xml:space="preserve">. In addition, </w:t>
      </w:r>
      <w:r w:rsidR="008F7E37">
        <w:t>it acts by binding to the bacterial cell wall causing its death</w:t>
      </w:r>
      <w:r w:rsidR="002628A7">
        <w:t>; hence it is bactericidal</w:t>
      </w:r>
      <w:r w:rsidR="008F7E37">
        <w:t xml:space="preserve">. The </w:t>
      </w:r>
      <w:proofErr w:type="spellStart"/>
      <w:r w:rsidR="008F7E37">
        <w:t>clavulanate</w:t>
      </w:r>
      <w:proofErr w:type="spellEnd"/>
      <w:r w:rsidR="008F7E37">
        <w:t xml:space="preserve"> component acts by resisting bacterial lactamase enzyme that bacterial produces against medications that cannot destroy the enzyme or inactivating it</w:t>
      </w:r>
      <w:r w:rsidR="00CA2583">
        <w:t xml:space="preserve"> (</w:t>
      </w:r>
      <w:proofErr w:type="spellStart"/>
      <w:r w:rsidR="00CA2583">
        <w:t>Katzung</w:t>
      </w:r>
      <w:proofErr w:type="spellEnd"/>
      <w:r w:rsidR="00CA2583">
        <w:t xml:space="preserve">, </w:t>
      </w:r>
      <w:r w:rsidR="00CA2583" w:rsidRPr="00CA2583">
        <w:t>2017)</w:t>
      </w:r>
      <w:r w:rsidR="008F7E37">
        <w:t xml:space="preserve">. It is, therefore, helps to cover bacterial that would not be destroyed by amoxicillin. </w:t>
      </w:r>
      <w:r w:rsidR="00AD10C6">
        <w:t xml:space="preserve"> He should take the medication in divided doses of two in 24 hours. He, therefore, would take </w:t>
      </w:r>
      <w:proofErr w:type="spellStart"/>
      <w:r w:rsidR="00AD10C6">
        <w:t>amoxiclav</w:t>
      </w:r>
      <w:proofErr w:type="spellEnd"/>
      <w:r w:rsidR="00AD10C6">
        <w:t xml:space="preserve"> 625mg PO BD for 5/7. George should be cautioned about the </w:t>
      </w:r>
      <w:proofErr w:type="gramStart"/>
      <w:r w:rsidR="00AD10C6">
        <w:t>medication's</w:t>
      </w:r>
      <w:proofErr w:type="gramEnd"/>
      <w:r w:rsidR="00AD10C6">
        <w:t xml:space="preserve"> side effects should include pseudomembranous colitis, nausea, vomiting, rash, blood </w:t>
      </w:r>
      <w:proofErr w:type="spellStart"/>
      <w:r w:rsidR="00AD10C6">
        <w:t>dyscrasias</w:t>
      </w:r>
      <w:proofErr w:type="spellEnd"/>
      <w:r w:rsidR="00AD10C6">
        <w:t xml:space="preserve">, and liver dysfunction. </w:t>
      </w:r>
      <w:r w:rsidR="000F7F7A">
        <w:t>He should also disclose if he has an allergy or hypersensitive to the medication to provide another choice for him.</w:t>
      </w:r>
      <w:r w:rsidR="00BC22A3">
        <w:t xml:space="preserve"> </w:t>
      </w:r>
      <w:r w:rsidR="000F7F7A">
        <w:t xml:space="preserve">The medication should be administered at the start of the meal to enhance absorption and decrease GIT side effects. He should also know that he needs to avoid meals with high fats to avoid a decrease in the absorption of the </w:t>
      </w:r>
      <w:proofErr w:type="spellStart"/>
      <w:r w:rsidR="000F7F7A">
        <w:t>clavulanate</w:t>
      </w:r>
      <w:proofErr w:type="spellEnd"/>
      <w:r w:rsidR="000F7F7A">
        <w:t xml:space="preserve"> component</w:t>
      </w:r>
      <w:r w:rsidR="00CA2583">
        <w:t xml:space="preserve"> (</w:t>
      </w:r>
      <w:proofErr w:type="spellStart"/>
      <w:r w:rsidR="00CA2583">
        <w:t>Katzung</w:t>
      </w:r>
      <w:proofErr w:type="spellEnd"/>
      <w:r w:rsidR="00CA2583">
        <w:t xml:space="preserve">, </w:t>
      </w:r>
      <w:r w:rsidR="00CA2583" w:rsidRPr="00CA2583">
        <w:t>2017)</w:t>
      </w:r>
      <w:r w:rsidR="000F7F7A">
        <w:t xml:space="preserve">. He needs to adhere to the medication schedule so that it is effective. He needs to finish the prescribed dose of the medication even if </w:t>
      </w:r>
      <w:r w:rsidR="000F7F7A">
        <w:lastRenderedPageBreak/>
        <w:t xml:space="preserve">he starts feeling better.  The patient should be advised to report any superinfection symptoms like furry growth in the mouth and foul-smelling stool. </w:t>
      </w:r>
    </w:p>
    <w:p w:rsidR="00BC22A3" w:rsidRDefault="00986540" w:rsidP="00BC22A3">
      <w:pPr>
        <w:ind w:firstLine="720"/>
      </w:pPr>
      <w:r>
        <w:t>The patient also requires being on antipyretics for the fever. The drug of choice would be Ibuprofen, which is an NSAID since there is no rep</w:t>
      </w:r>
      <w:r>
        <w:t>orted hyperacidity or GIT ulcer symptoms.  The medication works by inhibiting prostaglandin synthesis. The medication's side effects include dizziness, GIT bleeding, vomiting, nausea, and psychic disturbance</w:t>
      </w:r>
      <w:r w:rsidR="00CA2583">
        <w:t xml:space="preserve"> (</w:t>
      </w:r>
      <w:proofErr w:type="spellStart"/>
      <w:r w:rsidR="00CA2583" w:rsidRPr="00CA2583">
        <w:t>Metlay</w:t>
      </w:r>
      <w:proofErr w:type="spellEnd"/>
      <w:r w:rsidR="00CA2583">
        <w:t xml:space="preserve"> et al., 2019)</w:t>
      </w:r>
      <w:r>
        <w:t xml:space="preserve">. </w:t>
      </w:r>
      <w:r w:rsidR="00521663">
        <w:t>The patient should take the medication with a full glass of water, take the medication as directed, cause drowsiness, and not operate machines and avoid concurrent use with alcohol.</w:t>
      </w:r>
    </w:p>
    <w:p w:rsidR="00521663" w:rsidRDefault="00986540" w:rsidP="00BC22A3">
      <w:pPr>
        <w:ind w:firstLine="720"/>
      </w:pPr>
      <w:r>
        <w:t>His smoking habit needs to be addressed. This is because smoking interferes with the way medication</w:t>
      </w:r>
      <w:r>
        <w:t xml:space="preserve"> would be effective and also promotes superinfection. It is also a known factor that can lead to chronic obstructive pulmonary disease (COPD) and even lung carcinoma. He, therefore, needs to quit smoking.</w:t>
      </w:r>
      <w:r w:rsidR="00A67D75">
        <w:t xml:space="preserve"> He needs to be reinitiated to </w:t>
      </w:r>
      <w:proofErr w:type="spellStart"/>
      <w:r w:rsidR="00A67D75">
        <w:t>antihypertensives</w:t>
      </w:r>
      <w:proofErr w:type="spellEnd"/>
      <w:r w:rsidR="00A67D75">
        <w:t xml:space="preserve"> that would not have side effects like the previous ones which he did not disclose their names. Proper monitoring of the blood pressure should be established first before any medication is prescribed. </w:t>
      </w:r>
    </w:p>
    <w:p w:rsidR="00CA2583" w:rsidRDefault="00CA2583" w:rsidP="00521663"/>
    <w:p w:rsidR="00CA2583" w:rsidRDefault="00CA2583" w:rsidP="00521663"/>
    <w:p w:rsidR="00CA2583" w:rsidRDefault="00CA2583" w:rsidP="00521663"/>
    <w:p w:rsidR="00CA2583" w:rsidRDefault="00CA2583" w:rsidP="00521663"/>
    <w:p w:rsidR="00CA2583" w:rsidRDefault="00CA2583" w:rsidP="00521663"/>
    <w:p w:rsidR="00CA2583" w:rsidRDefault="00CA2583" w:rsidP="00521663"/>
    <w:p w:rsidR="00CA2583" w:rsidRDefault="00CA2583" w:rsidP="00521663"/>
    <w:p w:rsidR="00A67D75" w:rsidRDefault="00A67D75" w:rsidP="00521663"/>
    <w:p w:rsidR="003F6ED8" w:rsidRDefault="003F6ED8" w:rsidP="00521663">
      <w:bookmarkStart w:id="0" w:name="_GoBack"/>
      <w:bookmarkEnd w:id="0"/>
    </w:p>
    <w:p w:rsidR="00521663" w:rsidRPr="00CA2583" w:rsidRDefault="00986540" w:rsidP="00CA2583">
      <w:pPr>
        <w:jc w:val="center"/>
        <w:rPr>
          <w:b/>
        </w:rPr>
      </w:pPr>
      <w:r w:rsidRPr="00CA2583">
        <w:rPr>
          <w:b/>
        </w:rPr>
        <w:lastRenderedPageBreak/>
        <w:t>References</w:t>
      </w:r>
    </w:p>
    <w:p w:rsidR="00CA2583" w:rsidRDefault="00986540" w:rsidP="00CA2583">
      <w:pPr>
        <w:ind w:left="720" w:hanging="720"/>
      </w:pPr>
      <w:proofErr w:type="spellStart"/>
      <w:r w:rsidRPr="00CA2583">
        <w:t>Katzung</w:t>
      </w:r>
      <w:proofErr w:type="spellEnd"/>
      <w:r w:rsidRPr="00CA2583">
        <w:t>, B. G. (2017). </w:t>
      </w:r>
      <w:proofErr w:type="gramStart"/>
      <w:r w:rsidRPr="00CA2583">
        <w:rPr>
          <w:i/>
        </w:rPr>
        <w:t>B</w:t>
      </w:r>
      <w:r w:rsidRPr="00CA2583">
        <w:rPr>
          <w:i/>
        </w:rPr>
        <w:t>asic and Clinical Pharmacology 14th Edition</w:t>
      </w:r>
      <w:r w:rsidRPr="00CA2583">
        <w:t>.</w:t>
      </w:r>
      <w:proofErr w:type="gramEnd"/>
      <w:r w:rsidRPr="00CA2583">
        <w:t xml:space="preserve"> </w:t>
      </w:r>
      <w:proofErr w:type="gramStart"/>
      <w:r w:rsidRPr="00CA2583">
        <w:t>McGraw Hill Professional.</w:t>
      </w:r>
      <w:proofErr w:type="gramEnd"/>
    </w:p>
    <w:p w:rsidR="00CA2583" w:rsidRDefault="00986540" w:rsidP="00CA2583">
      <w:pPr>
        <w:ind w:left="720" w:hanging="720"/>
      </w:pPr>
      <w:proofErr w:type="spellStart"/>
      <w:r w:rsidRPr="00CA2583">
        <w:t>Metlay</w:t>
      </w:r>
      <w:proofErr w:type="spellEnd"/>
      <w:r w:rsidRPr="00CA2583">
        <w:t xml:space="preserve">, J. P., Waterer, G. W., Long, A. C., </w:t>
      </w:r>
      <w:proofErr w:type="spellStart"/>
      <w:r w:rsidRPr="00CA2583">
        <w:t>Anzueto</w:t>
      </w:r>
      <w:proofErr w:type="spellEnd"/>
      <w:r w:rsidRPr="00CA2583">
        <w:t xml:space="preserve">, A., </w:t>
      </w:r>
      <w:proofErr w:type="spellStart"/>
      <w:r w:rsidRPr="00CA2583">
        <w:t>Brozek</w:t>
      </w:r>
      <w:proofErr w:type="spellEnd"/>
      <w:r w:rsidRPr="00CA2583">
        <w:t>, J., Crothers, K</w:t>
      </w:r>
      <w:proofErr w:type="gramStart"/>
      <w:r w:rsidRPr="00CA2583">
        <w:t>., ...</w:t>
      </w:r>
      <w:proofErr w:type="gramEnd"/>
      <w:r w:rsidRPr="00CA2583">
        <w:t xml:space="preserve"> &amp; Griffin, M. R. (2019). </w:t>
      </w:r>
      <w:proofErr w:type="gramStart"/>
      <w:r w:rsidRPr="00CA2583">
        <w:t>Diagnosis and treatment of adults with community-acquired pneumonia.</w:t>
      </w:r>
      <w:proofErr w:type="gramEnd"/>
      <w:r w:rsidRPr="00CA2583">
        <w:t xml:space="preserve"> </w:t>
      </w:r>
      <w:proofErr w:type="gramStart"/>
      <w:r w:rsidRPr="00CA2583">
        <w:t xml:space="preserve">An </w:t>
      </w:r>
      <w:r w:rsidRPr="00CA2583">
        <w:t>official clinical practice guideline of the American Thoracic Society and Infectious Diseases Society of America.</w:t>
      </w:r>
      <w:proofErr w:type="gramEnd"/>
      <w:r w:rsidRPr="00CA2583">
        <w:t> </w:t>
      </w:r>
      <w:proofErr w:type="gramStart"/>
      <w:r w:rsidRPr="00CA2583">
        <w:rPr>
          <w:i/>
        </w:rPr>
        <w:t>American journal of respiratory and critical care medicine</w:t>
      </w:r>
      <w:r w:rsidRPr="00CA2583">
        <w:t>, </w:t>
      </w:r>
      <w:r w:rsidRPr="00CA2583">
        <w:rPr>
          <w:i/>
        </w:rPr>
        <w:t>200</w:t>
      </w:r>
      <w:r w:rsidRPr="00CA2583">
        <w:t>(7), e45-e67.</w:t>
      </w:r>
      <w:proofErr w:type="gramEnd"/>
    </w:p>
    <w:sectPr w:rsidR="00CA2583"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540" w:rsidRDefault="00986540">
      <w:pPr>
        <w:spacing w:line="240" w:lineRule="auto"/>
      </w:pPr>
      <w:r>
        <w:separator/>
      </w:r>
    </w:p>
  </w:endnote>
  <w:endnote w:type="continuationSeparator" w:id="0">
    <w:p w:rsidR="00986540" w:rsidRDefault="00986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540" w:rsidRDefault="00986540">
      <w:pPr>
        <w:spacing w:line="240" w:lineRule="auto"/>
      </w:pPr>
      <w:r>
        <w:separator/>
      </w:r>
    </w:p>
  </w:footnote>
  <w:footnote w:type="continuationSeparator" w:id="0">
    <w:p w:rsidR="00986540" w:rsidRDefault="0098654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846196"/>
      <w:docPartObj>
        <w:docPartGallery w:val="Page Numbers (Top of Page)"/>
        <w:docPartUnique/>
      </w:docPartObj>
    </w:sdtPr>
    <w:sdtEndPr>
      <w:rPr>
        <w:noProof/>
      </w:rPr>
    </w:sdtEndPr>
    <w:sdtContent>
      <w:p w:rsidR="0077636E" w:rsidRDefault="00986540">
        <w:pPr>
          <w:pStyle w:val="Header"/>
          <w:jc w:val="right"/>
        </w:pPr>
        <w:r>
          <w:fldChar w:fldCharType="begin"/>
        </w:r>
        <w:r>
          <w:instrText xml:space="preserve"> PAGE   \* MERGEFORMAT </w:instrText>
        </w:r>
        <w:r>
          <w:fldChar w:fldCharType="separate"/>
        </w:r>
        <w:r w:rsidR="003F6ED8">
          <w:rPr>
            <w:noProof/>
          </w:rPr>
          <w:t>4</w:t>
        </w:r>
        <w:r>
          <w:rPr>
            <w:noProof/>
          </w:rPr>
          <w:fldChar w:fldCharType="end"/>
        </w:r>
      </w:p>
    </w:sdtContent>
  </w:sdt>
  <w:p w:rsidR="0077636E" w:rsidRDefault="007763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CDD"/>
    <w:rsid w:val="000B57AE"/>
    <w:rsid w:val="000F7F7A"/>
    <w:rsid w:val="001352BC"/>
    <w:rsid w:val="002628A7"/>
    <w:rsid w:val="003F6ED8"/>
    <w:rsid w:val="00416F35"/>
    <w:rsid w:val="0048034F"/>
    <w:rsid w:val="004A15B7"/>
    <w:rsid w:val="004D7E18"/>
    <w:rsid w:val="00521663"/>
    <w:rsid w:val="00591ACD"/>
    <w:rsid w:val="00595CDD"/>
    <w:rsid w:val="0077636E"/>
    <w:rsid w:val="008F7E37"/>
    <w:rsid w:val="00964C07"/>
    <w:rsid w:val="00967D29"/>
    <w:rsid w:val="00986540"/>
    <w:rsid w:val="00A67D75"/>
    <w:rsid w:val="00AD10C6"/>
    <w:rsid w:val="00AE793E"/>
    <w:rsid w:val="00B922EF"/>
    <w:rsid w:val="00BC22A3"/>
    <w:rsid w:val="00BF6C61"/>
    <w:rsid w:val="00C761E7"/>
    <w:rsid w:val="00CA2583"/>
    <w:rsid w:val="00CE58B9"/>
    <w:rsid w:val="00DB00BF"/>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36E"/>
    <w:pPr>
      <w:tabs>
        <w:tab w:val="center" w:pos="4680"/>
        <w:tab w:val="right" w:pos="9360"/>
      </w:tabs>
      <w:spacing w:line="240" w:lineRule="auto"/>
    </w:pPr>
  </w:style>
  <w:style w:type="character" w:customStyle="1" w:styleId="HeaderChar">
    <w:name w:val="Header Char"/>
    <w:basedOn w:val="DefaultParagraphFont"/>
    <w:link w:val="Header"/>
    <w:uiPriority w:val="99"/>
    <w:rsid w:val="0077636E"/>
    <w:rPr>
      <w:rFonts w:asciiTheme="minorHAnsi" w:eastAsiaTheme="minorHAnsi" w:hAnsiTheme="minorHAnsi" w:cstheme="minorBidi"/>
      <w:iCs/>
      <w:sz w:val="22"/>
      <w:szCs w:val="22"/>
    </w:rPr>
  </w:style>
  <w:style w:type="paragraph" w:styleId="Footer">
    <w:name w:val="footer"/>
    <w:basedOn w:val="Normal"/>
    <w:link w:val="FooterChar"/>
    <w:uiPriority w:val="99"/>
    <w:unhideWhenUsed/>
    <w:rsid w:val="0077636E"/>
    <w:pPr>
      <w:tabs>
        <w:tab w:val="center" w:pos="4680"/>
        <w:tab w:val="right" w:pos="9360"/>
      </w:tabs>
      <w:spacing w:line="240" w:lineRule="auto"/>
    </w:pPr>
  </w:style>
  <w:style w:type="character" w:customStyle="1" w:styleId="FooterChar">
    <w:name w:val="Footer Char"/>
    <w:basedOn w:val="DefaultParagraphFont"/>
    <w:link w:val="Footer"/>
    <w:uiPriority w:val="99"/>
    <w:rsid w:val="0077636E"/>
    <w:rPr>
      <w:rFonts w:asciiTheme="minorHAnsi" w:eastAsiaTheme="minorHAnsi" w:hAnsiTheme="minorHAnsi" w:cstheme="minorBidi"/>
      <w:i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36E"/>
    <w:pPr>
      <w:tabs>
        <w:tab w:val="center" w:pos="4680"/>
        <w:tab w:val="right" w:pos="9360"/>
      </w:tabs>
      <w:spacing w:line="240" w:lineRule="auto"/>
    </w:pPr>
  </w:style>
  <w:style w:type="character" w:customStyle="1" w:styleId="HeaderChar">
    <w:name w:val="Header Char"/>
    <w:basedOn w:val="DefaultParagraphFont"/>
    <w:link w:val="Header"/>
    <w:uiPriority w:val="99"/>
    <w:rsid w:val="0077636E"/>
    <w:rPr>
      <w:rFonts w:asciiTheme="minorHAnsi" w:eastAsiaTheme="minorHAnsi" w:hAnsiTheme="minorHAnsi" w:cstheme="minorBidi"/>
      <w:iCs/>
      <w:sz w:val="22"/>
      <w:szCs w:val="22"/>
    </w:rPr>
  </w:style>
  <w:style w:type="paragraph" w:styleId="Footer">
    <w:name w:val="footer"/>
    <w:basedOn w:val="Normal"/>
    <w:link w:val="FooterChar"/>
    <w:uiPriority w:val="99"/>
    <w:unhideWhenUsed/>
    <w:rsid w:val="0077636E"/>
    <w:pPr>
      <w:tabs>
        <w:tab w:val="center" w:pos="4680"/>
        <w:tab w:val="right" w:pos="9360"/>
      </w:tabs>
      <w:spacing w:line="240" w:lineRule="auto"/>
    </w:pPr>
  </w:style>
  <w:style w:type="character" w:customStyle="1" w:styleId="FooterChar">
    <w:name w:val="Footer Char"/>
    <w:basedOn w:val="DefaultParagraphFont"/>
    <w:link w:val="Footer"/>
    <w:uiPriority w:val="99"/>
    <w:rsid w:val="0077636E"/>
    <w:rPr>
      <w:rFonts w:asciiTheme="minorHAnsi" w:eastAsiaTheme="minorHAnsi" w:hAnsiTheme="minorHAnsi" w:cstheme="minorBid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18</cp:revision>
  <dcterms:created xsi:type="dcterms:W3CDTF">2020-10-08T04:49:00Z</dcterms:created>
  <dcterms:modified xsi:type="dcterms:W3CDTF">2020-10-08T05:51:00Z</dcterms:modified>
</cp:coreProperties>
</file>